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§2171. SHORT TITLE; FINDINGS AND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