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220-C</w:t>
        <w:t xml:space="preserve">.  </w:t>
      </w:r>
      <w:r>
        <w:rPr>
          <w:b/>
        </w:rPr>
        <w:t xml:space="preserve">License limited to individuals</w:t>
      </w:r>
    </w:p>
    <w:p>
      <w:pPr>
        <w:jc w:val="both"/>
        <w:spacing w:before="100" w:after="100"/>
        <w:ind w:start="360"/>
        <w:ind w:firstLine="360"/>
      </w:pPr>
      <w:r>
        <w:rPr/>
      </w:r>
      <w:r>
        <w:rPr/>
      </w:r>
      <w:r>
        <w:t xml:space="preserve">A license under this subchapter may be issued only to an individual, and licensure must be determined on individual and personal qualifications.  A firm, corporation, company, partnership or limited liability company may not be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217,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C,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§220-C. License limited to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§220-C. License limited to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§220-C. LICENSE LIMITED TO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