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Registration under prior law</w:t>
      </w:r>
    </w:p>
    <w:p>
      <w:pPr>
        <w:jc w:val="both"/>
        <w:spacing w:before="100" w:after="100"/>
        <w:ind w:start="360"/>
        <w:ind w:firstLine="360"/>
      </w:pPr>
      <w:r>
        <w:rPr/>
      </w:r>
      <w:r>
        <w:rPr/>
      </w:r>
      <w:r>
        <w:t xml:space="preserve">An individual holding a license as a registered nurse in the State issued by the former Board of Registration of Nurses that is valid on September 12, 1959 is licensed as a registered nurse under this chapter, and the renewal of  the licenses for those individuals must be effectuated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§2209. Registration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Registration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§2209. REGISTRATION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