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License</w:t>
      </w:r>
    </w:p>
    <w:p>
      <w:pPr>
        <w:jc w:val="both"/>
        <w:spacing w:before="100" w:after="100"/>
        <w:ind w:start="360"/>
        <w:ind w:firstLine="360"/>
      </w:pPr>
      <w:r>
        <w:rPr/>
      </w:r>
      <w:r>
        <w:rPr/>
      </w:r>
      <w:r>
        <w:t xml:space="preserve">The board shall issue a license upon payment of the fee as set under </w:t>
      </w:r>
      <w:r>
        <w:t>section 222</w:t>
      </w:r>
      <w:r>
        <w:t xml:space="preserve"> to any applicant who has satisfactorily met all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Issuance of a license by the board is evidence that the person named therein is entitled to all the rights and privileges of a licensed architect, licensed landscape architect or certified interior designer while the license remains unexpired and unrevoked.</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Licenses expire on the last day of June of each year or any other time the Commissioner of Professional and Financial Regulation may designate.   A license may be renewed up to 90 days after the date of its expiration upon payment of a late fee in addition to the renewal fee as set under </w:t>
      </w:r>
      <w:r>
        <w:t>section 222</w:t>
      </w:r>
      <w:r>
        <w:t xml:space="preserv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renewal fee and additional late fee as set under section 222,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§548 (AMD). PL 1983, c. 413, §11 (AMD). PL 1987, c. 395, §A120 (AMD). PL 1991, c. 396, §19 (AMD). PL 2007, c. 402, Pt. F,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