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2289</w:t>
        <w:t xml:space="preserve">.  </w:t>
      </w:r>
      <w:r>
        <w:rPr>
          <w:b/>
        </w:rPr>
        <w:t xml:space="preserve">State participation in compact</w:t>
      </w:r>
    </w:p>
    <w:p>
      <w:pPr>
        <w:jc w:val="both"/>
        <w:spacing w:before="100" w:after="100"/>
        <w:ind w:start="360"/>
        <w:ind w:firstLine="360"/>
      </w:pPr>
      <w:r>
        <w:rPr>
          <w:b/>
        </w:rPr>
        <w:t>1</w:t>
        <w:t xml:space="preserve">.  </w:t>
      </w:r>
      <w:r>
        <w:rPr>
          <w:b/>
        </w:rPr>
        <w:t xml:space="preserve">Participation in compact.</w:t>
        <w:t xml:space="preserve"> </w:t>
      </w:r>
      <w:r>
        <w:t xml:space="preserve"> </w:t>
      </w:r>
      <w:r>
        <w:t xml:space="preserve">To participate in the compact, a member state shall:</w:t>
      </w:r>
    </w:p>
    <w:p>
      <w:pPr>
        <w:jc w:val="both"/>
        <w:spacing w:before="100" w:after="0"/>
        <w:ind w:start="720"/>
      </w:pPr>
      <w:r>
        <w:rPr/>
        <w:t>A</w:t>
        <w:t xml:space="preserve">.  </w:t>
      </w:r>
      <w:r>
        <w:rPr/>
      </w:r>
      <w:r>
        <w:t xml:space="preserve">License occupational therapists and occupational therapy assistants;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Participate fully in the commission's data system, including, but not limited to, using the commission's unique identifier as defined in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Have a mechanism in place for receiving and investigating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Notify the commission, in compliance with the terms of the compact and rules, of any adverse action or the availability of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Implement or use procedures for considering the criminal history records of applicants for an initial compact privilege.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jc w:val="both"/>
        <w:spacing w:before="100" w:after="0"/>
        <w:ind w:start="1080"/>
      </w:pPr>
      <w:r>
        <w:rPr/>
        <w:t>(</w:t>
        <w:t>1</w:t>
        <w:t xml:space="preserve">)  </w:t>
      </w:r>
      <w:r>
        <w:rPr/>
      </w:r>
      <w:r>
        <w:t xml:space="preserve">A member state shall within a time frame established by the commission require a criminal background check for a licensee applying for a compact privilege whose primary state of residence is that member state, by receiving the results of the Federal Bureau of Investigation criminal record search, and shall use the results in making licensure decisions.</w:t>
      </w:r>
    </w:p>
    <w:p>
      <w:pPr>
        <w:jc w:val="both"/>
        <w:spacing w:before="100" w:after="0"/>
        <w:ind w:start="1080"/>
      </w:pPr>
      <w:r>
        <w:rPr/>
        <w:t>(</w:t>
        <w:t>2</w:t>
        <w:t xml:space="preserve">)  </w:t>
      </w:r>
      <w:r>
        <w:rPr/>
      </w:r>
      <w:r>
        <w:t xml:space="preserve">Communication with the commission and among member states regarding the verification of eligibility for licensure through the compact may not include any information received from the Federal Bureau of Investigation relating to a federal criminal records check performed by a member state under the Departments of State, Justice, and Commerce, the Judiciary, and Related Agencies Appropriations Act, 1973, Title II, Public Law 92-544 (1972);</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Use only a recognized national examination as a requirement for licensure pursuant to the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H</w:t>
        <w:t xml:space="preserve">.  </w:t>
      </w:r>
      <w:r>
        <w:rPr/>
      </w:r>
      <w:r>
        <w:t xml:space="preserve">Have continuing education requirements as a condition for license renewal.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Compact privilege.</w:t>
        <w:t xml:space="preserve"> </w:t>
      </w:r>
      <w:r>
        <w:t xml:space="preserve"> </w:t>
      </w:r>
      <w:r>
        <w:t xml:space="preserve">A member state shall grant the compact privilege to a licensee holding a valid unencumbered license in another member state in accordance with the terms of the compact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Fee.</w:t>
        <w:t xml:space="preserve"> </w:t>
      </w:r>
      <w:r>
        <w:t xml:space="preserve"> </w:t>
      </w:r>
      <w:r>
        <w:t xml:space="preserve">A member state may charge a fee for granting a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Delegate to commission.</w:t>
        <w:t xml:space="preserve"> </w:t>
      </w:r>
      <w:r>
        <w:t xml:space="preserve"> </w:t>
      </w:r>
      <w:r>
        <w:t xml:space="preserve">A member state shall provide for the state's delegate to attend all occupational therapy compact commission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Nonresidents.</w:t>
        <w:t xml:space="preserve"> </w:t>
      </w:r>
      <w:r>
        <w:t xml:space="preserve"> </w:t>
      </w:r>
      <w:r>
        <w:t xml:space="preserve">An individual not residing in a member state is able to apply for a member state's single-state license as provided under the laws of that member state.  However, the single-state license granted to these individuals may not be recognized as granting the compact privilege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No effect on single-state license authority.</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§2289. State participation in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§2289. State participation in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§2289. STATE PARTICIPATION IN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