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2295</w:t>
        <w:t xml:space="preserve">.  </w:t>
      </w:r>
      <w:r>
        <w:rPr>
          <w:b/>
        </w:rPr>
        <w:t xml:space="preserve">Data system</w:t>
      </w:r>
    </w:p>
    <w:p>
      <w:pPr>
        <w:jc w:val="both"/>
        <w:spacing w:before="100" w:after="100"/>
        <w:ind w:start="360"/>
        <w:ind w:firstLine="360"/>
      </w:pPr>
      <w:r>
        <w:rPr/>
      </w:r>
      <w:r>
        <w:rPr/>
      </w:r>
      <w:r>
        <w:t xml:space="preserve">This subsection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Any denial of application for licensure and the reason for the denial;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Other information that may facilitate the administration of this compact, as determined by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Current significant investigative information.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and other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§2295.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§2295.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§2295.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