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Binding effect of compact and other laws</w:t>
      </w:r>
    </w:p>
    <w:p>
      <w:pPr>
        <w:jc w:val="both"/>
        <w:spacing w:before="100" w:after="100"/>
        <w:ind w:start="360"/>
        <w:ind w:firstLine="360"/>
      </w:pPr>
      <w:r>
        <w:rPr/>
      </w:r>
      <w:r>
        <w:rPr/>
      </w:r>
      <w:r>
        <w:t xml:space="preserve">A licensee providing occupational therapy in a remote state under the compact privilege shall function within the laws and regulations of the remote state.  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§2300.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