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§2571-A.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§2571-A. BACKGROUND CHECK FOR EXPEDITED LICENSURE THROUGH THE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