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3501-B</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authorized under this chapter in amounts that are reasonable and necessary for their respective purposes, except that the fee for any one purpose may not exceed $350 biennially.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C, §1 (AMD); PL 2011, c. 286, Pt. B, §5 (REV).]</w:t>
      </w:r>
    </w:p>
    <w:p>
      <w:pPr>
        <w:jc w:val="both"/>
        <w:spacing w:before="100" w:after="0"/>
        <w:ind w:start="360"/>
        <w:ind w:firstLine="360"/>
      </w:pPr>
      <w:r>
        <w:rPr>
          <w:b/>
        </w:rPr>
        <w:t>1</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2</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3</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w:pPr>
        <w:jc w:val="both"/>
        <w:spacing w:before="100" w:after="0"/>
        <w:ind w:start="360"/>
        <w:ind w:firstLine="360"/>
      </w:pPr>
      <w:r>
        <w:rPr>
          <w:b/>
        </w:rPr>
        <w:t>4</w:t>
        <w:t xml:space="preserve">.  </w:t>
      </w:r>
      <w:r>
        <w:rPr>
          <w:b/>
        </w:rPr>
        <w:t xml:space="preserve">Plan review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§L8 (NEW). PL 2003, c. 250, §B5 (RPR). PL 2009, c. 241, Pt. C,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