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§3652. FEES; REEXAMINATION;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