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3820</w:t>
        <w:t xml:space="preserve">.  </w:t>
      </w:r>
      <w:r>
        <w:rPr>
          <w:b/>
        </w:rPr>
        <w:t xml:space="preserve">Duty to warn and protect</w:t>
      </w:r>
    </w:p>
    <w:p>
      <w:pPr>
        <w:jc w:val="both"/>
        <w:spacing w:before="100" w:after="0"/>
        <w:ind w:start="360"/>
        <w:ind w:firstLine="360"/>
      </w:pPr>
      <w:r>
        <w:rPr>
          <w:b/>
        </w:rPr>
        <w:t>1</w:t>
        <w:t xml:space="preserve">.  </w:t>
      </w:r>
      <w:r>
        <w:rPr>
          <w:b/>
        </w:rPr>
        <w:t xml:space="preserve">Duty.</w:t>
        <w:t xml:space="preserve"> </w:t>
      </w:r>
      <w:r>
        <w:t xml:space="preserve"> </w:t>
      </w:r>
      <w:r>
        <w:t xml:space="preserve">A licensee under this chapter has a duty to warn of or to take reasonable precautions to provide protection from a patient's violent behavior if the licensee has a reasonable belief based on communications with the patient that the patient is likely to engage in physical violence that poses a serious risk of harm to self or others.  The duty imposed under this subsection may not be interpreted to require the licensee to take any action that in the reasonable professional judgment of the licensee would endanger the licensee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w:t>
      </w:r>
    </w:p>
    <w:p>
      <w:pPr>
        <w:jc w:val="both"/>
        <w:spacing w:before="100" w:after="0"/>
        <w:ind w:start="360"/>
        <w:ind w:firstLine="360"/>
      </w:pPr>
      <w:r>
        <w:rPr>
          <w:b/>
        </w:rPr>
        <w:t>2</w:t>
        <w:t xml:space="preserve">.  </w:t>
      </w:r>
      <w:r>
        <w:rPr>
          <w:b/>
        </w:rPr>
        <w:t xml:space="preserve">Discharge of duty.</w:t>
        <w:t xml:space="preserve"> </w:t>
      </w:r>
      <w:r>
        <w:t xml:space="preserve"> </w:t>
      </w:r>
      <w:r>
        <w:t xml:space="preserve">A licensee subject to a duty to warn or provide protection under subsection 1 may discharge that duty if the licensee makes reasonable efforts to communicate the threat to a potential victim, notifies a law enforcement agency or seeks involuntary hospitalization of the patient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patient privacy or confidentiality against a person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§3820. Duty to warn and protect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§3820. Duty to warn and protect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§3820. DUTY TO WARN AND PROTECT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