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3823</w:t>
        <w:t xml:space="preserve">.  </w:t>
      </w:r>
      <w:r>
        <w:rPr>
          <w:b/>
        </w:rPr>
        <w:t xml:space="preserve">Grants</w:t>
      </w:r>
    </w:p>
    <w:p>
      <w:pPr>
        <w:jc w:val="both"/>
        <w:spacing w:before="100" w:after="100"/>
        <w:ind w:start="360"/>
        <w:ind w:firstLine="360"/>
      </w:pPr>
      <w:r>
        <w:rPr/>
      </w:r>
      <w:r>
        <w:rPr/>
      </w:r>
      <w:r>
        <w:t xml:space="preserve">The board may accept grants from foundations or institutions.  These grants must be deposited in the State Treasury to the credit of the board.</w:t>
      </w:r>
      <w:r>
        <w:t xml:space="preserve">  </w:t>
      </w:r>
      <w:r xmlns:wp="http://schemas.openxmlformats.org/drawingml/2010/wordprocessingDrawing" xmlns:w15="http://schemas.microsoft.com/office/word/2012/wordml">
        <w:rPr>
          <w:rFonts w:ascii="Arial" w:hAnsi="Arial" w:cs="Arial"/>
          <w:sz w:val="22"/>
          <w:szCs w:val="22"/>
        </w:rPr>
        <w:t xml:space="preserve">[PL 1995, c. 397,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§150 (AMD). PL 1985, c. 389, §21 (AMD). PL 1995, c. 397,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§3823.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§3823.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§3823.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