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3836</w:t>
        <w:t xml:space="preserve">.  </w:t>
      </w:r>
      <w:r>
        <w:rPr>
          <w:b/>
        </w:rPr>
        <w:t xml:space="preserve">Conditional licensure</w:t>
      </w:r>
    </w:p>
    <w:p>
      <w:pPr>
        <w:jc w:val="both"/>
        <w:spacing w:before="100" w:after="100"/>
        <w:ind w:start="360"/>
        <w:ind w:firstLine="360"/>
      </w:pPr>
      <w:r>
        <w:rPr/>
      </w:r>
      <w:r>
        <w:rPr/>
      </w:r>
      <w:r>
        <w:t xml:space="preserve">The board may, at any time at its discretion, grant a conditional license without examination to any person who at the time of application is licensed by a similar board of another state whose standards, in the opinion of the board, are equivalent to those required by this chapter. The board, at its discretion, may issue a conditional license, at the appropriate level, to applicants for a permanent license upon payment of the fee as set under </w:t>
      </w:r>
      <w:r>
        <w:t>section 3833‑A</w:t>
      </w:r>
      <w:r>
        <w:t xml:space="preserve">.  The conditional license is effective for one year and requires that the licensee practice only under supervision.  The board may require conditional licensees to pass an examination approved by the board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2007, c. 402, Pt. Q,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625, §219 (AMD). PL 1983, c. 413, §156 (AMD). PL 1983, c. 468, §24 (AMD). PL 1983, c. 816, §A35 (RPR). PL 1991, c. 144, §2 (AMD). PL 2001, c. 323, §26 (AMD). PL 2007, c. 402, Pt. Q, §12 (AMD). PL 2021, c. 642,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§3836. Conditional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§3836. Conditional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§3836. CONDITIONAL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