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§3844. COMPACT PRIVILEGE TO PRACTICE TELEPSYCHOLOGY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