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License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A person may not practice micropigmentation, display a sign or otherwise advertise or purport to be a micropigmentation practitioner unless that person holds a valid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Term of license.</w:t>
        <w:t xml:space="preserve"> </w:t>
      </w:r>
      <w:r>
        <w:t xml:space="preserve"> </w:t>
      </w:r>
      <w:r>
        <w:t xml:space="preserve">A license issued under this chapter expires on September 30th and is renewable biennially.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2-A</w:t>
        <w:t xml:space="preserve">.  </w:t>
      </w:r>
      <w:r>
        <w:rPr>
          <w:b/>
        </w:rPr>
        <w:t xml:space="preserve">License renewal.</w:t>
        <w:t xml:space="preserve"> </w:t>
      </w:r>
      <w:r>
        <w:t xml:space="preserve"> </w:t>
      </w:r>
      <w:r>
        <w:t xml:space="preserve">A license under this chapter may be renewed biennially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§30 (NEW).]</w:t>
      </w:r>
    </w:p>
    <w:p>
      <w:pPr>
        <w:jc w:val="both"/>
        <w:spacing w:before="100" w:after="0"/>
        <w:ind w:start="360"/>
        <w:ind w:firstLine="360"/>
      </w:pPr>
      <w:r>
        <w:rPr>
          <w:b/>
        </w:rPr>
        <w:t>2-B</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4313</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 biennial license if the conditional license is voided or expires; however, the department may not reissue another conditional license.  All conditions must be met in order for an applicant to reapply for and be issued a biennial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§31 (NEW).]</w:t>
      </w:r>
    </w:p>
    <w:p>
      <w:pPr>
        <w:jc w:val="both"/>
        <w:spacing w:before="100" w:after="0"/>
        <w:ind w:start="360"/>
        <w:ind w:firstLine="360"/>
      </w:pPr>
      <w:r>
        <w:rPr>
          <w:b/>
        </w:rPr>
        <w:t>3</w:t>
        <w:t xml:space="preserve">.  </w:t>
      </w:r>
      <w:r>
        <w:rPr>
          <w:b/>
        </w:rPr>
        <w:t xml:space="preserve">Exemption.</w:t>
        <w:t xml:space="preserve"> </w:t>
      </w:r>
      <w:r>
        <w:t xml:space="preserve"> </w:t>
      </w:r>
      <w:r>
        <w:t xml:space="preserve">This chapter does not apply to a physician or a person acting under the control or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§§30,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