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License renewal</w:t>
      </w:r>
    </w:p>
    <w:p>
      <w:pPr>
        <w:jc w:val="both"/>
        <w:spacing w:before="100" w:after="100"/>
        <w:ind w:start="360"/>
        <w:ind w:firstLine="360"/>
      </w:pPr>
      <w:r>
        <w:rPr/>
      </w:r>
      <w:r>
        <w:rPr/>
      </w:r>
      <w:r>
        <w:t xml:space="preserve">All licenses expire annually on such date as the commissioner may designate, and may be renewed with the board by payment of the renewal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Licenses may be reinstated up to 90 days after the date of expiration upon payment of a late fee as set under </w:t>
      </w:r>
      <w:r>
        <w:t>section 4863‑A</w:t>
      </w:r>
      <w:r>
        <w:t xml:space="preserve"> in addition to the renewal fee.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renewal fee and additional late fee as set under section 4863‑A,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By rule the board may waive the payment of the renewal fee of a licensed veterinarian during the period when that veterinarian is on active duty with any branch of the Armed Services of the United States, not to exceed the longer of 3 years or the duration of a national emergency.</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§6 (AMD). PL 1983, c. 48, §6 (AMD). PL 1989, c. 450, §31 (AMD). PL 1991, c. 509, §25 (AMD). PL 1997, c. 246, §20 (AMD). PL 2003, c. 251, §3 (AMD). PL 2007, c. 402, Pt. R,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§4863.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§4863.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