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Board; organization</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Board of Licensure of Foresters, as established within the department pursuant to </w:t>
      </w:r>
      <w:r>
        <w:t>Title 5, section 12004‑A, subsection 17</w:t>
      </w:r>
      <w:r>
        <w:t xml:space="preserve">, administers the provisions of this chapter to protect the public by improving the standards relative to the practice of forestry, to protect the public from unqualified practitioners and to help ensure the proper management of the forest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6 members appointed by the Governor.  Each member must be a resident of this State.  The board consists of:</w:t>
      </w:r>
    </w:p>
    <w:p>
      <w:pPr>
        <w:jc w:val="both"/>
        <w:spacing w:before="100" w:after="0"/>
        <w:ind w:start="720"/>
      </w:pPr>
      <w:r>
        <w:rPr/>
        <w:t>A</w:t>
        <w:t xml:space="preserve">.  </w:t>
      </w:r>
      <w:r>
        <w:rPr/>
      </w:r>
      <w:r>
        <w:t xml:space="preserve">One public member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T, §2 (AMD).]</w:t>
      </w:r>
    </w:p>
    <w:p>
      <w:pPr>
        <w:jc w:val="both"/>
        <w:spacing w:before="100" w:after="0"/>
        <w:ind w:start="720"/>
      </w:pPr>
      <w:r>
        <w:rPr/>
        <w:t>B</w:t>
        <w:t xml:space="preserve">.  </w:t>
      </w:r>
      <w:r>
        <w:rPr/>
      </w:r>
      <w:r>
        <w:t xml:space="preserve">Five foresters who hold valid licenses.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§15 (AMD).]</w:t>
      </w:r>
    </w:p>
    <w:p>
      <w:pPr>
        <w:jc w:val="both"/>
        <w:spacing w:before="100" w:after="0"/>
        <w:ind w:start="360"/>
        <w:ind w:firstLine="360"/>
      </w:pPr>
      <w:r>
        <w:rPr>
          <w:b/>
        </w:rPr>
        <w:t>5</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§2 (AMD). PL 2013, c. 246,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§5505. Board;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Board;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§5505. BOARD;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