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6100-B</w:t>
        <w:t xml:space="preserve">.  </w:t>
      </w:r>
      <w:r>
        <w:rPr>
          <w:b/>
        </w:rPr>
        <w:t xml:space="preserve">Authorized delegate reporting</w:t>
      </w:r>
    </w:p>
    <w:p>
      <w:pPr>
        <w:jc w:val="both"/>
        <w:spacing w:before="100" w:after="100"/>
        <w:ind w:start="360"/>
        <w:ind w:firstLine="360"/>
      </w:pPr>
      <w:r>
        <w:rPr/>
      </w:r>
      <w:r>
        <w:rPr/>
      </w:r>
      <w:r>
        <w:t xml:space="preserve">Authorized delegate reporting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Authorized delegate reports.</w:t>
        <w:t xml:space="preserve"> </w:t>
      </w:r>
      <w:r>
        <w:t xml:space="preserve"> </w:t>
      </w:r>
      <w:r>
        <w:t xml:space="preserve">A licensee shall submit a report regarding its authorized delegates within 45 days of the end of each calendar quarter.  The administrator may use NMLS for the submission of the report required by this section as long as the report submission is 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The authorized delegate report must include, at a minimum, each authorized delegate's:</w:t>
      </w:r>
    </w:p>
    <w:p>
      <w:pPr>
        <w:jc w:val="both"/>
        <w:spacing w:before="100" w:after="0"/>
        <w:ind w:start="720"/>
      </w:pPr>
      <w:r>
        <w:rPr/>
        <w:t>A</w:t>
        <w:t xml:space="preserve">.  </w:t>
      </w:r>
      <w:r>
        <w:rPr/>
      </w:r>
      <w:r>
        <w:t xml:space="preserve">Company's legal name;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Taxpayer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Principal provider of money transmission;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Physical address;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Mailing address;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Business conducted in other states, if any;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Fictitious or trade name, if any;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Contact person's name, telephone number and e-mail address;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I</w:t>
        <w:t xml:space="preserve">.  </w:t>
      </w:r>
      <w:r>
        <w:rPr/>
      </w:r>
      <w:r>
        <w:t xml:space="preserve">Start date acting as licensee's authorized delegate;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J</w:t>
        <w:t xml:space="preserve">.  </w:t>
      </w:r>
      <w:r>
        <w:rPr/>
      </w:r>
      <w:r>
        <w:t xml:space="preserve">End date acting as licensee’s authorized delegate, if applicable.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pPr>
      <w:r>
        <w:rPr/>
      </w:r>
      <w:r>
        <w:rPr/>
      </w:r>
      <w:r>
        <w:t xml:space="preserve">The administrator may request any other information the administrator reasonably requires with respect to the authorized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§6100-B. Authorized delegate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§6100-B. Authorized delegate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§6100-B. AUTHORIZED DELEGATE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