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6100-LL</w:t>
        <w:t xml:space="preserve">.  </w:t>
      </w:r>
      <w:r>
        <w:rPr>
          <w:b/>
        </w:rPr>
        <w:t xml:space="preserve">Giving notice</w:t>
      </w:r>
    </w:p>
    <w:p>
      <w:pPr>
        <w:jc w:val="both"/>
        <w:spacing w:before="100" w:after="100"/>
        <w:ind w:start="360"/>
        <w:ind w:firstLine="360"/>
      </w:pPr>
      <w:r>
        <w:rPr/>
      </w:r>
      <w:r>
        <w:rPr/>
      </w:r>
      <w:r>
        <w:t xml:space="preserve">When the giving of notice is required by this Act, for persons licensed in this State through NMLS or applying for licensing through NMLS, notice is considered complete when posted to the licensee's or applicant's site on NMLS.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§6100-LL. Giving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§6100-LL. Giving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§6100-LL. GIVING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