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6155</w:t>
        <w:t xml:space="preserve">.  </w:t>
      </w:r>
      <w:r>
        <w:rPr>
          <w:b/>
        </w:rPr>
        <w:t xml:space="preserve">Effects of violations on rights of parties</w:t>
      </w:r>
    </w:p>
    <w:p>
      <w:pPr>
        <w:jc w:val="both"/>
        <w:spacing w:before="100" w:after="100"/>
        <w:ind w:start="360"/>
        <w:ind w:firstLine="360"/>
      </w:pPr>
      <w:r>
        <w:rPr>
          <w:b/>
        </w:rPr>
        <w:t>1</w:t>
        <w:t xml:space="preserve">.  </w:t>
      </w:r>
      <w:r>
        <w:rPr>
          <w:b/>
        </w:rPr>
        <w:t xml:space="preserve">Violation of subchapter; unfair practices; civil penalty.</w:t>
        <w:t xml:space="preserve"> </w:t>
      </w:r>
      <w:r>
        <w:t xml:space="preserve"> </w:t>
      </w:r>
      <w:r>
        <w:t xml:space="preserve">An operator that violates any provision of this subchapter or any rule adopted by the administrator or that through any unfair, unconscionable or deceptive practice causes actual damage to a customer, is subject to the following:</w:t>
      </w:r>
    </w:p>
    <w:p>
      <w:pPr>
        <w:jc w:val="both"/>
        <w:spacing w:before="100" w:after="0"/>
        <w:ind w:start="720"/>
      </w:pPr>
      <w:r>
        <w:rPr/>
        <w:t>A</w:t>
        <w:t xml:space="preserve">.  </w:t>
      </w:r>
      <w:r>
        <w:rPr/>
      </w:r>
      <w:r>
        <w:t xml:space="preserve">Examination and investigation pursuant to </w:t>
      </w:r>
      <w:r>
        <w:t>section 6156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After notice and hearing, a cease and desist order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A civil action by the administrator through the Attorney General after which a court may assess a civil penalty of not more than $5,000;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D</w:t>
        <w:t xml:space="preserve">.  </w:t>
      </w:r>
      <w:r>
        <w:rPr/>
      </w:r>
      <w:r>
        <w:t xml:space="preserve">Revocation, suspension or nonrenewal of the operator's registration pursuant to </w:t>
      </w:r>
      <w:r>
        <w:t>section 6157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establishes a cash-dispensing machine pursuant to this subchapter without having filed notice with the administrator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§6155. Effects of violations on rights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§6155. Effects of violations on rights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§6155. EFFECTS OF VIOLATIONS ON RIGHTS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