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6216</w:t>
        <w:t xml:space="preserve">.  </w:t>
      </w:r>
      <w:r>
        <w:rPr>
          <w:b/>
        </w:rPr>
        <w:t xml:space="preserve">Examinations</w:t>
      </w:r>
    </w:p>
    <w:p>
      <w:pPr>
        <w:jc w:val="both"/>
        <w:spacing w:before="100" w:after="100"/>
        <w:ind w:start="360"/>
        <w:ind w:firstLine="360"/>
      </w:pPr>
      <w:r>
        <w:rPr/>
      </w:r>
      <w:r>
        <w:rPr/>
      </w:r>
      <w:r>
        <w:t xml:space="preserve">The board shall prepare an examination to measure the competence of an applicant to engage in the practice of alcohol and drug counseling in accordance with this chapter.  The board may employ and cooperate with any organization or consultant in the preparation, administration and grading of an examination.  The board may adopt rules establishing examination criteria.  Applicants for examination must pay an examination fee as set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347, §18 (RPR);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1989, c. 831, §9 (RPR). PL 1991, c. 456, §27 (AMD). PL 1995, c. 394, §21 (AMD). PL 2003, c. 347, §18 (RPR).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§6216.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§6216.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§6216.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