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U, §12 (NEW).]</w:t>
      </w:r>
    </w:p>
    <w:p>
      <w:pPr>
        <w:jc w:val="both"/>
        <w:spacing w:before="100" w:after="0"/>
        <w:ind w:start="360"/>
        <w:ind w:firstLine="360"/>
      </w:pPr>
      <w:r>
        <w:rPr>
          <w:b/>
        </w:rPr>
        <w:t>1</w:t>
        <w:t xml:space="preserve">.  </w:t>
      </w:r>
      <w:r>
        <w:rPr>
          <w:b/>
        </w:rPr>
        <w:t xml:space="preserve">Active use.</w:t>
        <w:t xml:space="preserve"> </w:t>
      </w:r>
      <w:r>
        <w:t xml:space="preserve"> </w:t>
      </w:r>
      <w:r>
        <w:t xml:space="preserve">Active use of alcohol or any other drug that in the judgment of the board is detrimental to the performance or competency of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§20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legal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§21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6223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§12 (NEW). PL 2007, c. 621, §9 (AMD). PL 2017, c. 407, Pt. A, §138 (AMD). PL 2019, c. 165,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§6217-B.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