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6218</w:t>
        <w:t xml:space="preserve">.  </w:t>
      </w:r>
      <w:r>
        <w:rPr>
          <w:b/>
        </w:rPr>
        <w:t xml:space="preserve">Issuance after denial, suspension or revocation</w:t>
      </w:r>
    </w:p>
    <w:p>
      <w:pPr>
        <w:jc w:val="both"/>
        <w:spacing w:before="100" w:after="100"/>
        <w:ind w:start="360"/>
        <w:ind w:firstLine="360"/>
      </w:pPr>
      <w:r>
        <w:rPr/>
      </w:r>
      <w:r>
        <w:rPr/>
      </w:r>
      <w:r>
        <w:t xml:space="preserve">Any individual whose license, certification or registration has been denied, suspended or revoked may apply to the board for licensure, registration or certification reinstatement one year after the date of the board's original action.  A competency review is a condition of reinstatement.  The board shall determine the nature of this review and shall adopt rules in accordance with the Maine Administrative Procedure Act,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347, §20 (AMD); PL 2003, c. 347,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1977, c. 694, §659 (RPR). PL 1983, c. 413, §219 (RPR). PL 1987, c. 395, §A210 (AMD). PL 1991, c. 456, §31 (AMD). PL 2003, c. 347, §20 (AMD). PL 2003, c. 347,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§6218. Issuance after denial, suspension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§6218. Issuance after denial, suspension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§6218. ISSUANCE AFTER DENIAL, SUSPENSION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