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7032</w:t>
        <w:t xml:space="preserve">.  </w:t>
      </w:r>
      <w:r>
        <w:rPr>
          <w:b/>
        </w:rPr>
        <w:t xml:space="preserve">Addresses confidential</w:t>
      </w:r>
    </w:p>
    <w:p>
      <w:pPr>
        <w:jc w:val="both"/>
        <w:spacing w:before="100" w:after="100"/>
        <w:ind w:start="360"/>
        <w:ind w:firstLine="360"/>
      </w:pPr>
      <w:r>
        <w:rPr/>
      </w:r>
      <w:r>
        <w:rPr/>
      </w:r>
      <w:r>
        <w:t xml:space="preserve">The address and telephone number of an applicant for licensure or a person licensed under this chapter that are in the possession of the board are confidential.  Nothing in this section prohibits the board and its staff from using and disclosing the address and telephone number of an applicant or licensee as necessary to perform the duties and functions of the board.</w:t>
      </w:r>
      <w:r>
        <w:t xml:space="preserve">  </w:t>
      </w:r>
      <w:r xmlns:wp="http://schemas.openxmlformats.org/drawingml/2010/wordprocessingDrawing" xmlns:w15="http://schemas.microsoft.com/office/word/2012/wordml">
        <w:rPr>
          <w:rFonts w:ascii="Arial" w:hAnsi="Arial" w:cs="Arial"/>
          <w:sz w:val="22"/>
          <w:szCs w:val="22"/>
        </w:rPr>
        <w:t xml:space="preserve">[PL 2015, c. 476,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§7032. Addresses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§7032. Addresses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§7032. ADDRESSES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