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Expiration and renewals</w:t>
      </w:r>
    </w:p>
    <w:p>
      <w:pPr>
        <w:jc w:val="both"/>
        <w:spacing w:before="100" w:after="100"/>
        <w:ind w:start="360"/>
        <w:ind w:firstLine="360"/>
      </w:pPr>
      <w:r>
        <w:rPr/>
      </w:r>
      <w:r>
        <w:rPr/>
      </w:r>
      <w:r>
        <w:t xml:space="preserve">A license renewal fee as set under </w:t>
      </w:r>
      <w:r>
        <w:t>section 7056</w:t>
      </w:r>
      <w:r>
        <w:t xml:space="preserve"> must be paid by the licensee.  Licenses expire biennially on December 31st or at such other times as the Commissioner of Professional and Financial Regulation may designate.   Each renewal is contingent upon evidence of participation in a continuing professional education course or program as approved by the board.  A license may be renewed up to 90 days after the date of expiration upon payment of a late fee in addition to the renewal fee as set under </w:t>
      </w:r>
      <w:r>
        <w:t>section 7056</w:t>
      </w:r>
      <w:r>
        <w:t xml:space="preserve">.  Any person who submits an application for renewal more than 90 days after the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V, §15 (AMD).]</w:t>
      </w:r>
    </w:p>
    <w:p>
      <w:pPr>
        <w:jc w:val="both"/>
        <w:spacing w:before="100" w:after="100"/>
        <w:ind w:start="360"/>
        <w:ind w:firstLine="360"/>
      </w:pPr>
      <w:r>
        <w:rPr/>
      </w:r>
      <w:r>
        <w:rPr/>
      </w:r>
      <w:r>
        <w:t xml:space="preserve">Beginning January 1, 2020, an applicant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§4 (NEW).]</w:t>
      </w:r>
    </w:p>
    <w:p>
      <w:pPr>
        <w:jc w:val="both"/>
        <w:spacing w:before="100" w:after="100"/>
        <w:ind w:start="360"/>
        <w:ind w:firstLine="360"/>
      </w:pPr>
      <w:r>
        <w:rPr/>
      </w:r>
      <w:r>
        <w:rPr/>
      </w:r>
      <w:r>
        <w:t xml:space="preserve">A licensee who is no longer actively practicing social work may apply for an inactive status license pursuant to </w:t>
      </w:r>
      <w:r>
        <w:t>Title 10, section 8003, subsection 5‑A, paragraph D</w:t>
      </w:r>
      <w:r>
        <w:t xml:space="preserve">, subparagraph (5).  The holder of an inactive status license may not practice social work in the State. The fee for inactive status licensure is set under </w:t>
      </w:r>
      <w:r>
        <w:t>section 7056</w:t>
      </w:r>
      <w:r>
        <w:t xml:space="preserve">. The holder of an inactive status license is required to renew the license annually and pay the renewal fee as set under </w:t>
      </w:r>
      <w:r>
        <w:t>section 7056</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V, §15 (NEW).]</w:t>
      </w:r>
    </w:p>
    <w:p>
      <w:pPr>
        <w:jc w:val="both"/>
        <w:spacing w:before="100" w:after="100"/>
        <w:ind w:start="360"/>
        <w:ind w:firstLine="360"/>
      </w:pPr>
      <w:r>
        <w:rPr/>
      </w:r>
      <w:r>
        <w:rPr/>
      </w:r>
      <w:r>
        <w:t xml:space="preserve">In addition to the other requirements of this section, a licensed social worker must:</w:t>
      </w:r>
      <w:r>
        <w:t xml:space="preserve">  </w:t>
      </w:r>
      <w:r xmlns:wp="http://schemas.openxmlformats.org/drawingml/2010/wordprocessingDrawing" xmlns:w15="http://schemas.microsoft.com/office/word/2012/wordml">
        <w:rPr>
          <w:rFonts w:ascii="Arial" w:hAnsi="Arial" w:cs="Arial"/>
          <w:sz w:val="22"/>
          <w:szCs w:val="22"/>
        </w:rPr>
        <w:t xml:space="preserve">[PL 2003, c. 429, §6 (RPR); PL 2003, c. 429, §7 (AFF).]</w:t>
      </w:r>
    </w:p>
    <w:p>
      <w:pPr>
        <w:jc w:val="both"/>
        <w:spacing w:before="100" w:after="0"/>
        <w:ind w:start="360"/>
        <w:ind w:firstLine="360"/>
      </w:pPr>
      <w:r>
        <w:rPr>
          <w:b/>
        </w:rPr>
        <w:t>1</w:t>
        <w:t xml:space="preserve">.  </w:t>
      </w:r>
      <w:r>
        <w:rPr>
          <w:b/>
        </w:rPr>
        <w:t xml:space="preserve">Not employee of Department of Health and Human Services.</w:t>
        <w:t xml:space="preserve"> </w:t>
      </w:r>
      <w:r>
        <w:t xml:space="preserve"> </w:t>
      </w:r>
      <w:r>
        <w:t xml:space="preserve">If not employed by the Department of Health and Human Services, provide documentation of 96 hours of consultation as determined by the board during the first 3,200 hours of social work employment in a period of not less than 2 years but not more than 4 years.  For purposes of fulfilling the requirement of 96 hours of consultation during the first 3,200 hours of social work employment, a licensed social worker who practiced social work and obtained social work consultation hours in a long-term care setting and who held a valid license as of September 13, 2003 may count consultation hours that were obtained prior to August 3, 2004, whether the consultation hours were obtained in individual or group settings, if the consultation was provided by a licensed social worker, regardless of the group size and the eligibility requirements of the consulting licensed social worker;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173, §2 (AMD).]</w:t>
      </w:r>
    </w:p>
    <w:p>
      <w:pPr>
        <w:jc w:val="both"/>
        <w:spacing w:before="100" w:after="100"/>
        <w:ind w:start="360"/>
        <w:ind w:firstLine="360"/>
      </w:pPr>
      <w:r>
        <w:rPr>
          <w:b/>
        </w:rPr>
        <w:t>2</w:t>
        <w:t xml:space="preserve">.  </w:t>
      </w:r>
      <w:r>
        <w:rPr>
          <w:b/>
        </w:rPr>
        <w:t xml:space="preserve">Employee of Department of Health and Human Services.</w:t>
        <w:t xml:space="preserve"> </w:t>
      </w:r>
      <w:r>
        <w:t xml:space="preserve"> </w:t>
      </w:r>
      <w:r>
        <w:t xml:space="preserve">If employed by the Department of Health and Human Services, provide documentation of either:</w:t>
      </w:r>
    </w:p>
    <w:p>
      <w:pPr>
        <w:jc w:val="both"/>
        <w:spacing w:before="100" w:after="0"/>
        <w:ind w:start="720"/>
      </w:pPr>
      <w:r>
        <w:rPr/>
        <w:t>A</w:t>
        <w:t xml:space="preserve">.  </w:t>
      </w:r>
      <w:r>
        <w:rPr/>
      </w:r>
      <w:r>
        <w:t xml:space="preserve">A minimum of 96 hours of consultation with a licensed social worker who has been licensed for at least 4 years or a licensed master social worker.  This consultation must be concurrent with the first 3,200 hours of social work employment occurring in a period of not less than 2 years but not more than 4 years; or</w:t>
      </w:r>
      <w:r>
        <w:t xml:space="preserve">  </w:t>
      </w:r>
      <w:r xmlns:wp="http://schemas.openxmlformats.org/drawingml/2010/wordprocessingDrawing" xmlns:w15="http://schemas.microsoft.com/office/word/2012/wordml">
        <w:rPr>
          <w:rFonts w:ascii="Arial" w:hAnsi="Arial" w:cs="Arial"/>
          <w:sz w:val="22"/>
          <w:szCs w:val="22"/>
        </w:rPr>
        <w:t xml:space="preserve">[PL 2003, c. 429, §6 (NEW); PL 2003, c. 429, §7 (AFF).]</w:t>
      </w:r>
    </w:p>
    <w:p>
      <w:pPr>
        <w:jc w:val="both"/>
        <w:spacing w:before="100" w:after="0"/>
        <w:ind w:start="720"/>
      </w:pPr>
      <w:r>
        <w:rPr/>
        <w:t>B</w:t>
        <w:t xml:space="preserve">.  </w:t>
      </w:r>
      <w:r>
        <w:rPr/>
      </w:r>
      <w:r>
        <w:t xml:space="preserve">A minimum of 96 hours of consultation concurrent with the person's first 3,200 hours of social work employment occurring in a period of not less than 2 years but not more than 4 years with a licensed social worker who has been licensed for at least 2 years, has been designated by the department as a supervisor trainee and is concurrently receiving 48 hours of consultation with a licensed master social worker.</w:t>
      </w:r>
      <w:r>
        <w:t xml:space="preserve">  </w:t>
      </w:r>
      <w:r xmlns:wp="http://schemas.openxmlformats.org/drawingml/2010/wordprocessingDrawing" xmlns:w15="http://schemas.microsoft.com/office/word/2012/wordml">
        <w:rPr>
          <w:rFonts w:ascii="Arial" w:hAnsi="Arial" w:cs="Arial"/>
          <w:sz w:val="22"/>
          <w:szCs w:val="22"/>
        </w:rPr>
        <w:t xml:space="preserve">[PL 2003, c. 429, §6 (NEW); PL 2003, c. 429,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§6 (NEW); PL 2003, c. 429, §7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204, §13 (AMD). PL 1983, c. 413, §§230,231 (AMD). PL 1985, c. 736, §19 (AMD). PL 1987, c. 113, §3 (AMD). PL 1987, c. 395, §B19 (AMD). PL 1987, c. 769, §A122 (AMD). PL 1993, c. 659, §A8 (AMD). PL 2001, c. 316, §5 (AMD). PL 2003, c. 429, §6 (RPR). PL 2003, c. 429, §7 (AFF). PL 2003, c. 689, §B6 (REV). PL 2005, c. 173, §2 (AMD). PL 2007, c. 402, Pt. V, §15 (AMD). PL 2013, c. 262,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§7060.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§7060.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