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389, §26 (RPR). PL 1995, c. 397,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1.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1.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