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§7354. LICENSE REQUIRED TO MAINTAIN ACTION OR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