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8116</w:t>
        <w:t xml:space="preserve">.  </w:t>
      </w:r>
      <w:r>
        <w:rPr>
          <w:b/>
        </w:rPr>
        <w:t xml:space="preserve">Powers of the chief</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chief under this chapter, the chief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chief,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witness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3</w:t>
        <w:t xml:space="preserve">.  </w:t>
      </w:r>
      <w:r>
        <w:rPr>
          <w:b/>
        </w:rPr>
        <w:t xml:space="preserve">Rules.</w:t>
        <w:t xml:space="preserve"> </w:t>
      </w:r>
      <w:r>
        <w:t xml:space="preserve"> </w:t>
      </w:r>
      <w:r>
        <w:t xml:space="preserve">The chief with the advice of the board may adopt rules necessary to administer this chapter, including, but not limited to, rules regarding standards of acceptable professional conduct and training requirements for and sponsorship of investigative assistants.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§8116. Powers of the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§8116. Powers of the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§8116. POWERS OF THE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