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8123</w:t>
        <w:t xml:space="preserve">.  </w:t>
      </w:r>
      <w:r>
        <w:rPr>
          <w:b/>
        </w:rPr>
        <w:t xml:space="preserve">Violation</w:t>
      </w:r>
    </w:p>
    <w:p>
      <w:pPr>
        <w:jc w:val="both"/>
        <w:spacing w:before="100" w:after="100"/>
        <w:ind w:start="360"/>
        <w:ind w:firstLine="360"/>
      </w:pPr>
      <w:r>
        <w:rPr/>
      </w:r>
      <w:r>
        <w:rPr/>
      </w:r>
      <w:r>
        <w:t xml:space="preserve">Except when a criminal penalty is otherwise provided, a person who violates this chapter or a rule adopted pursuant to this chapter commits a civil violation for which a fine of not less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366,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§8123.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§8123.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§8123.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