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1993, c. 600, §A262 (AMD). PL 1999, c. 547, §B78 (AMD). PL 1999, c. 547, §B80 (AFF). PL 2007, c. 402, Pt. X,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