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Declaration of purpose</w:t>
      </w:r>
    </w:p>
    <w:p>
      <w:pPr>
        <w:jc w:val="both"/>
        <w:spacing w:before="100" w:after="100"/>
        <w:ind w:start="360"/>
        <w:ind w:firstLine="360"/>
      </w:pPr>
      <w:r>
        <w:rPr/>
      </w:r>
      <w:r>
        <w:rPr/>
      </w:r>
      <w:r>
        <w:t xml:space="preserve">In order to recognize the professional qualifications of dietitians and dietetic technicians and to assure the availability to the public of information regarding those who hold themselves out to be dietitians and dietetic technicians, it is the purpose of this chapter to provide for the licensing of qualified dietitians and dietetic technicians.</w:t>
      </w:r>
      <w:r>
        <w:t xml:space="preserve">  </w:t>
      </w:r>
      <w:r xmlns:wp="http://schemas.openxmlformats.org/drawingml/2010/wordprocessingDrawing" xmlns:w15="http://schemas.microsoft.com/office/word/2012/wordml">
        <w:rPr>
          <w:rFonts w:ascii="Arial" w:hAnsi="Arial" w:cs="Arial"/>
          <w:sz w:val="22"/>
          <w:szCs w:val="22"/>
        </w:rPr>
        <w:t xml:space="preserve">[PL 1987,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