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9910</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§7 (NEW).]</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§7 (RP).]</w:t>
      </w:r>
    </w:p>
    <w:p>
      <w:pPr>
        <w:jc w:val="both"/>
        <w:spacing w:before="100" w:after="0"/>
        <w:ind w:start="360"/>
        <w:ind w:firstLine="360"/>
      </w:pPr>
      <w:r>
        <w:rPr>
          <w:b/>
        </w:rPr>
        <w:t>2</w:t>
        <w:t xml:space="preserve">.  </w:t>
      </w:r>
      <w:r>
        <w:rPr>
          <w:b/>
        </w:rPr>
        <w:t xml:space="preserve">Disciplinary actions; 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§7 (RP).]</w:t>
      </w:r>
    </w:p>
    <w:p>
      <w:pPr>
        <w:jc w:val="both"/>
        <w:spacing w:before="100" w:after="0"/>
        <w:ind w:start="360"/>
        <w:ind w:firstLine="360"/>
      </w:pPr>
      <w:r>
        <w:rPr>
          <w:b/>
        </w:rPr>
        <w:t>3</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2004, c. 402, Pt. Y,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§6 (AMD). PL 1989, c. 502, §A115 (AMD). PL 1999, c. 547, §B78 (AMD). PL 1999, c. 547, §B80 (AFF). PL 2007, c. 402, Pt. Y,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§9910.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§9910.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§9910.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