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JOINT TENANCIES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17. JOINT TENANCIES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