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w:t>
        <w:t xml:space="preserve">.  </w:t>
      </w:r>
      <w:r>
        <w:rPr>
          <w:b/>
        </w:rPr>
        <w:t xml:space="preserve">When nonvested property interest or power of appointment created</w:t>
      </w:r>
    </w:p>
    <w:p>
      <w:pPr>
        <w:jc w:val="both"/>
        <w:spacing w:before="100" w:after="0"/>
        <w:ind w:start="360"/>
        <w:ind w:firstLine="360"/>
      </w:pPr>
      <w:r>
        <w:rPr>
          <w:b/>
        </w:rPr>
        <w:t>1</w:t>
        <w:t xml:space="preserve">.  </w:t>
      </w:r>
      <w:r>
        <w:rPr>
          <w:b/>
        </w:rPr>
        <w:t xml:space="preserve">General principles.</w:t>
        <w:t xml:space="preserve"> </w:t>
      </w:r>
      <w:r>
        <w:t xml:space="preserve"> </w:t>
      </w:r>
      <w:r>
        <w:t xml:space="preserve">Except as provided in </w:t>
      </w:r>
      <w:r>
        <w:t>subsections 2</w:t>
      </w:r>
      <w:r>
        <w:t xml:space="preserve"> and </w:t>
      </w:r>
      <w:r>
        <w:t>3</w:t>
      </w:r>
      <w:r>
        <w:t xml:space="preserve"> and in </w:t>
      </w:r>
      <w:r>
        <w:t>section 115, subsection 1</w:t>
      </w:r>
      <w:r>
        <w:t xml:space="preserve">, the time of creation of a nonvested property interest or a power of appointment is determined under general principles of property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B, §2 (NEW); PL 2019, c. 417, Pt. B, §14 (AFF).]</w:t>
      </w:r>
    </w:p>
    <w:p>
      <w:pPr>
        <w:jc w:val="both"/>
        <w:spacing w:before="100" w:after="0"/>
        <w:ind w:start="360"/>
        <w:ind w:firstLine="360"/>
      </w:pPr>
      <w:r>
        <w:rPr>
          <w:b/>
        </w:rPr>
        <w:t>2</w:t>
        <w:t xml:space="preserve">.  </w:t>
      </w:r>
      <w:r>
        <w:rPr>
          <w:b/>
        </w:rPr>
        <w:t xml:space="preserve">Unqualified beneficial owner.</w:t>
        <w:t xml:space="preserve"> </w:t>
      </w:r>
      <w:r>
        <w:t xml:space="preserve"> </w:t>
      </w:r>
      <w:r>
        <w:t xml:space="preserve">For purposes of this chapter, if there is an individual who alone can exercise a power created by a governing instrument to become the unqualified beneficial owner of a nonvested property interest or a property interest subject to a power of appointment described in </w:t>
      </w:r>
      <w:r>
        <w:t>section 111, subsection 2</w:t>
      </w:r>
      <w:r>
        <w:t xml:space="preserve"> or </w:t>
      </w:r>
      <w:r>
        <w:t>3</w:t>
      </w:r>
      <w:r>
        <w:t xml:space="preserve">, the nonvested property interest or power of appointment is created when the power to become the unqualified beneficial owner terminates.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B, §2 (NEW); PL 2019, c. 417, Pt. B, §14 (AFF).]</w:t>
      </w:r>
    </w:p>
    <w:p>
      <w:pPr>
        <w:jc w:val="both"/>
        <w:spacing w:before="100" w:after="0"/>
        <w:ind w:start="360"/>
        <w:ind w:firstLine="360"/>
      </w:pPr>
      <w:r>
        <w:rPr>
          <w:b/>
        </w:rPr>
        <w:t>3</w:t>
        <w:t xml:space="preserve">.  </w:t>
      </w:r>
      <w:r>
        <w:rPr>
          <w:b/>
        </w:rPr>
        <w:t xml:space="preserve">Arising out of transfer of property.</w:t>
        <w:t xml:space="preserve"> </w:t>
      </w:r>
      <w:r>
        <w:t xml:space="preserve"> </w:t>
      </w:r>
      <w:r>
        <w:t xml:space="preserve">For purposes of this chapter, a nonvested property interest or a power of appointment arising out of a transfer of property to a previously funded trust or other existing property arrangement is created when the nonvested property interest or power of appointment in the original contribution was created.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B,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B,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§112. When nonvested property interest or power of appointment created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 When nonvested property interest or power of appointment created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§112. WHEN NONVESTED PROPERTY INTEREST OR POWER OF APPOINTMENT CREATED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