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1602-116</w:t>
        <w:t xml:space="preserve">.  </w:t>
      </w:r>
      <w:r>
        <w:rPr>
          <w:b/>
        </w:rPr>
        <w:t xml:space="preserve">Easement to facilitate exercise of special declarant rights</w:t>
      </w:r>
    </w:p>
    <w:p>
      <w:pPr>
        <w:jc w:val="both"/>
        <w:spacing w:before="100" w:after="100"/>
        <w:ind w:start="360"/>
        <w:ind w:firstLine="360"/>
      </w:pPr>
      <w:r>
        <w:rPr/>
      </w:r>
      <w:r>
        <w:rPr/>
      </w:r>
      <w:r>
        <w:t xml:space="preserve">Subject to the provisions of the declaration, a declarant has an easement through the common elements as may be reasonably necessary for the purpose of discharging a declarant's obligations or exercising special declarant rights, whether arising under this Act or reserved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§1602-116. Easement to facilitate exercise of special declarant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§1602-116. Easement to facilitate exercise of special declarant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§1602-116. EASEMENT TO FACILITATE EXERCISE OF SPECIAL DECLARANT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