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8. Termination of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8. Termination of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8. TERMINATION OF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