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§1603-101. Organization of unit owners'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§1603-101. Organization of unit owners'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§1603-101. ORGANIZATION OF UNIT OWNERS'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