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10. Release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0. Release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0. RELEASE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