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Nomination of custodian</w:t>
      </w:r>
    </w:p>
    <w:p>
      <w:pPr>
        <w:jc w:val="both"/>
        <w:spacing w:before="100" w:after="0"/>
        <w:ind w:start="360"/>
        <w:ind w:firstLine="360"/>
      </w:pPr>
      <w:r>
        <w:rPr>
          <w:b/>
        </w:rPr>
        <w:t>1</w:t>
        <w:t xml:space="preserve">.  </w:t>
      </w:r>
      <w:r>
        <w:rPr>
          <w:b/>
        </w:rPr>
        <w:t xml:space="preserve">Revocable nomination.</w:t>
        <w:t xml:space="preserve"> </w:t>
      </w:r>
      <w:r>
        <w:t xml:space="preserve"> </w:t>
      </w:r>
      <w:r>
        <w:t xml:space="preserve">A person having the right to designate the recipient of property transferrable upon the occurrence of a future event may revocably nominate a custodian to receive the property for a minor beneficiary upon the occurrence of the event by naming the custodian followed in substance by the words "as custodian for                 (name of minor) under the Maine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Who may serve.</w:t>
        <w:t xml:space="preserve"> </w:t>
      </w:r>
      <w:r>
        <w:t xml:space="preserve"> </w:t>
      </w:r>
      <w:r>
        <w:t xml:space="preserve">A custodian nominated under this section shall be a person to whom a transfer of property of that kind may be made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Effect of nomination.</w:t>
        <w:t xml:space="preserve"> </w:t>
      </w:r>
      <w:r>
        <w:t xml:space="preserve"> </w:t>
      </w:r>
      <w:r>
        <w:t xml:space="preserve">The nomination of a custodian under this section does not create custodial property until the nominating instrument becomes irrevocable or a transfer to the nominated custodian is completed under </w:t>
      </w:r>
      <w:r>
        <w:t>section 1660</w:t>
      </w:r>
      <w:r>
        <w:t xml:space="preserve">.  Unless the nomination of a custodian has been revoked, upon the occurrence of the future event, the custodianship becomes effective and the custodian shall enforce a transfer of the custodial property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Nomination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Nomination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§1654. NOMINATION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