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§1656. TRANSFER AUTHORIZED BY WILL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