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Other transfer by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Other transfer by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§1657. OTHER TRANSFER BY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