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 Custodian's expenses, compensation and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Custodian's expenses, compensation and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§1666. CUSTODIAN'S EXPENSES, COMPENSATION AND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