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2095</w:t>
        <w:t xml:space="preserve">.  </w:t>
      </w:r>
      <w:r>
        <w:rPr>
          <w:b/>
        </w:rPr>
        <w:t xml:space="preserve">Property reportable and payable or deliverable absent owner demand</w:t>
      </w:r>
    </w:p>
    <w:p>
      <w:pPr>
        <w:jc w:val="both"/>
        <w:spacing w:before="100" w:after="100"/>
        <w:ind w:start="360"/>
        <w:ind w:firstLine="360"/>
      </w:pPr>
      <w:r>
        <w:rPr/>
      </w:r>
      <w:r>
        <w:rPr/>
      </w:r>
      <w:r>
        <w:t xml:space="preserve">Property is reportable and payable or deliverable under this Act even if the owner fails to make demand or present an instrument or document otherwise required to obtain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§2095. Property reportable and payable or deliverable absent owner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§2095. Property reportable and payable or deliverable absent owner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§2095. PROPERTY REPORTABLE AND PAYABLE OR DELIVERABLE ABSENT OWNER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