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Claim of another state to recover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§2151. CLAIM OF ANOTHER STATE TO RECOVER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