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Examination of records to determine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Examination of records to determine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§2162. EXAMINATION OF RECORDS TO DETERMINE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