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Agreements to locate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Agreements to locate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§2201. AGREEMENTS TO LOCATE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