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When confidential information may be disclosed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When confidential information may be disclosed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§2213. WHEN CONFIDENTIAL INFORMATION MAY BE DISCLOSED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