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Grantor dead or out of State</w:t>
      </w:r>
    </w:p>
    <w:p>
      <w:pPr>
        <w:jc w:val="both"/>
        <w:spacing w:before="100" w:after="100"/>
        <w:ind w:start="360"/>
        <w:ind w:firstLine="360"/>
      </w:pPr>
      <w:r>
        <w:rPr/>
      </w:r>
      <w:r>
        <w:rPr/>
      </w:r>
      <w:r>
        <w:t xml:space="preserve">When a grantor or lessor dies, or departs from the State without acknowledging his deed, its execution may be proved by a subscribing witness before any court of record in the State. No deed without one subscribing witness can, for this purpose, be proved before any court or justice.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Grantor dead or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Grantor dead or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§301. GRANTOR DEAD OR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