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Witness dead or absent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Witness dead or absent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§302. WITNESS DEAD OR ABSENT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