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Address of buyer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Address of buyer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§456. ADDRESS OF BUYER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